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F3" w:rsidRDefault="001A4CF3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французскому языку </w:t>
      </w:r>
    </w:p>
    <w:p w:rsidR="001A4CF3" w:rsidRDefault="001A4CF3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1A4CF3" w:rsidRDefault="001A4CF3" w:rsidP="002349D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французс</w:t>
      </w:r>
      <w:r w:rsidRPr="00321833">
        <w:rPr>
          <w:rFonts w:ascii="Times New Roman" w:hAnsi="Times New Roman" w:cs="Times New Roman"/>
          <w:sz w:val="28"/>
          <w:szCs w:val="28"/>
        </w:rPr>
        <w:t>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End"/>
      <w:r w:rsidRPr="00BB53F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</w:t>
      </w:r>
      <w:r w:rsidRPr="00BB53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</w:t>
      </w:r>
      <w:proofErr w:type="spellStart"/>
      <w:r w:rsidRPr="005B1FCF">
        <w:rPr>
          <w:rFonts w:ascii="Times New Roman" w:hAnsi="Times New Roman" w:cs="Times New Roman"/>
          <w:sz w:val="28"/>
          <w:szCs w:val="28"/>
        </w:rPr>
        <w:t>бейдже</w:t>
      </w:r>
      <w:proofErr w:type="spellEnd"/>
      <w:r w:rsidRPr="005B1FCF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</w:t>
      </w:r>
      <w:proofErr w:type="gramEnd"/>
      <w:r w:rsidRPr="001F7566">
        <w:rPr>
          <w:rFonts w:ascii="Times New Roman" w:hAnsi="Times New Roman" w:cs="Times New Roman"/>
          <w:sz w:val="28"/>
          <w:szCs w:val="28"/>
        </w:rPr>
        <w:t xml:space="preserve"> выставленными баллами.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1A4CF3" w:rsidRDefault="001A4CF3" w:rsidP="005B1FCF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4CF3" w:rsidRPr="00CC31A1" w:rsidRDefault="001A4CF3" w:rsidP="005B1FCF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принятой </w:t>
      </w:r>
      <w:proofErr w:type="spellStart"/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</w:t>
      </w:r>
      <w:proofErr w:type="spellEnd"/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Pr="005B1FCF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5F3EE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110 минут (1 час 50 минут)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135 минут (2 часа 15 минут)</w:t>
      </w:r>
    </w:p>
    <w:p w:rsidR="001A4CF3" w:rsidRPr="00CD6D7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736A52">
        <w:rPr>
          <w:rFonts w:ascii="Times New Roman" w:hAnsi="Times New Roman" w:cs="Times New Roman"/>
          <w:sz w:val="28"/>
          <w:szCs w:val="28"/>
        </w:rPr>
        <w:t>10 минут на подготовку + 4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6A52">
        <w:rPr>
          <w:rFonts w:ascii="Times New Roman" w:hAnsi="Times New Roman" w:cs="Times New Roman"/>
          <w:sz w:val="28"/>
          <w:szCs w:val="28"/>
        </w:rPr>
        <w:t>6 минут на ответ одного участника.</w:t>
      </w:r>
    </w:p>
    <w:p w:rsidR="001A4CF3" w:rsidRPr="00CD6D7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 – 11 классы: 20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подготовку +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ответ одного участника.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Pr="005F3EE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1A4CF3" w:rsidRDefault="001A4CF3" w:rsidP="00736A52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</w:t>
      </w:r>
      <w:bookmarkStart w:id="0" w:name="_GoBack"/>
      <w:bookmarkEnd w:id="0"/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 языку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материальная база, которая включает в себя элементы для проведения пяти конкурсов.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450799">
        <w:rPr>
          <w:rFonts w:ascii="Times New Roman" w:hAnsi="Times New Roman" w:cs="Times New Roman"/>
          <w:sz w:val="28"/>
          <w:szCs w:val="28"/>
        </w:rPr>
        <w:t xml:space="preserve"> требует контроля времени. 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Конкурсы, выполняемые в письменной форме (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Лексико-грамматический тест,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Понимание устного текста, Понимание письменных текстов, Конкурс письменной речи).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Каждому участнику должны быть предоставлены: бланки заданий, бланки ответов 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чистая бумага для черновиков. Желательно обеспечить участников ручками с чернилами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одного, установленного организатором, цвета.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Для проведения конкурса понимания устно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50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текста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31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Конкурс устной речи.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конкурса устной речи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рекомендует</w:t>
      </w:r>
      <w:r>
        <w:rPr>
          <w:rStyle w:val="fontstyle01"/>
          <w:rFonts w:ascii="Times New Roman" w:hAnsi="Times New Roman" w:cs="Times New Roman"/>
          <w:sz w:val="28"/>
          <w:szCs w:val="28"/>
        </w:rPr>
        <w:t>ся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 предусмотреть следующее: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для ожидания конкурсантов.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Одна-две аудитории для подготовки участников</w:t>
      </w:r>
      <w:r w:rsidRPr="00736A52">
        <w:rPr>
          <w:rStyle w:val="fontstyle41"/>
          <w:rFonts w:ascii="Times New Roman" w:hAnsi="Times New Roman" w:cs="Times New Roman"/>
          <w:sz w:val="28"/>
          <w:szCs w:val="28"/>
        </w:rPr>
        <w:t xml:space="preserve">, </w:t>
      </w:r>
      <w:r w:rsidRPr="00736A52">
        <w:rPr>
          <w:rStyle w:val="fontstyle41"/>
          <w:rFonts w:ascii="Times New Roman" w:hAnsi="Times New Roman" w:cs="Times New Roman"/>
          <w:b w:val="0"/>
          <w:bCs w:val="0"/>
          <w:sz w:val="28"/>
          <w:szCs w:val="28"/>
        </w:rPr>
        <w:t>где к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аждый конкурсант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должен быть обеспечен: бланком заданий, документом-основой, выбираемым методом случайного выбора, чистой бумагой для черновиков.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Аудитории для работы жюри с отвечающими участниками. Каждая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должна быть оборудована запис</w:t>
      </w:r>
      <w:r>
        <w:rPr>
          <w:rStyle w:val="fontstyle21"/>
          <w:rFonts w:ascii="Times New Roman" w:hAnsi="Times New Roman" w:cs="Times New Roman"/>
          <w:sz w:val="28"/>
          <w:szCs w:val="28"/>
        </w:rPr>
        <w:t>ывающей аппаратурой (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диктофон, компьютер</w:t>
      </w:r>
      <w:r>
        <w:rPr>
          <w:rStyle w:val="fontstyle21"/>
          <w:rFonts w:ascii="Times New Roman" w:hAnsi="Times New Roman" w:cs="Times New Roman"/>
          <w:sz w:val="28"/>
          <w:szCs w:val="28"/>
        </w:rPr>
        <w:t>/ноутбук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, видеокамера).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или использования </w:t>
      </w:r>
      <w:proofErr w:type="spellStart"/>
      <w:r w:rsidRPr="006C1AC0">
        <w:rPr>
          <w:rFonts w:ascii="Times New Roman" w:hAnsi="Times New Roman" w:cs="Times New Roman"/>
          <w:color w:val="000000"/>
          <w:sz w:val="28"/>
          <w:szCs w:val="28"/>
        </w:rPr>
        <w:t>Wi-Fi</w:t>
      </w:r>
      <w:proofErr w:type="spellEnd"/>
      <w:r w:rsidRPr="006C1A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1A4CF3" w:rsidRPr="00040EAB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1A4CF3" w:rsidRPr="00040EAB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чем 7 календарных дней после окончания 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Показ работ осуществляется в сроки, уставленные оргкомитетом,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Показ осуществляется после проведения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данную работу. Перед показом участник предъявляет членам жюри и оргкомитета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видеофиксацию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оргмоделью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Рособрнадзора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рассмотрении апелляции. В случае нарушения указанного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1A4CF3" w:rsidRPr="00040EAB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450799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Подведение итогов муниципального этапа </w:t>
      </w:r>
      <w:proofErr w:type="gramStart"/>
      <w:r w:rsidRPr="00450799">
        <w:rPr>
          <w:rFonts w:ascii="Times New Roman" w:hAnsi="Times New Roman" w:cs="Times New Roman"/>
          <w:b/>
          <w:bCs/>
          <w:sz w:val="28"/>
          <w:szCs w:val="28"/>
        </w:rPr>
        <w:t>Всероссийской</w:t>
      </w:r>
      <w:proofErr w:type="gramEnd"/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1A4CF3" w:rsidRPr="00450799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3522F6" w:rsidRDefault="001A4CF3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1A4CF3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1A4CF3" w:rsidSect="00A6375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82" w:rsidRDefault="001F4682" w:rsidP="00961483">
      <w:pPr>
        <w:spacing w:after="0" w:line="240" w:lineRule="auto"/>
      </w:pPr>
      <w:r>
        <w:separator/>
      </w:r>
    </w:p>
  </w:endnote>
  <w:endnote w:type="continuationSeparator" w:id="0">
    <w:p w:rsidR="001F4682" w:rsidRDefault="001F4682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F3" w:rsidRDefault="00B15C94" w:rsidP="00FC5051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A4CF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440B0">
      <w:rPr>
        <w:rStyle w:val="aa"/>
        <w:noProof/>
      </w:rPr>
      <w:t>6</w:t>
    </w:r>
    <w:r>
      <w:rPr>
        <w:rStyle w:val="aa"/>
      </w:rPr>
      <w:fldChar w:fldCharType="end"/>
    </w:r>
  </w:p>
  <w:p w:rsidR="001A4CF3" w:rsidRDefault="001A4CF3" w:rsidP="005B1FC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82" w:rsidRDefault="001F4682" w:rsidP="00961483">
      <w:pPr>
        <w:spacing w:after="0" w:line="240" w:lineRule="auto"/>
      </w:pPr>
      <w:r>
        <w:separator/>
      </w:r>
    </w:p>
  </w:footnote>
  <w:footnote w:type="continuationSeparator" w:id="0">
    <w:p w:rsidR="001F4682" w:rsidRDefault="001F4682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FCE0A55"/>
    <w:multiLevelType w:val="hybridMultilevel"/>
    <w:tmpl w:val="FB0A5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475D0"/>
    <w:rsid w:val="000910DC"/>
    <w:rsid w:val="000943B5"/>
    <w:rsid w:val="000B3F7D"/>
    <w:rsid w:val="000B42A5"/>
    <w:rsid w:val="000E26CD"/>
    <w:rsid w:val="000E4561"/>
    <w:rsid w:val="000F62FB"/>
    <w:rsid w:val="00147B8E"/>
    <w:rsid w:val="001773F9"/>
    <w:rsid w:val="00191A30"/>
    <w:rsid w:val="001A4CF3"/>
    <w:rsid w:val="001A5BBF"/>
    <w:rsid w:val="001B33ED"/>
    <w:rsid w:val="001F4682"/>
    <w:rsid w:val="001F7566"/>
    <w:rsid w:val="002349D6"/>
    <w:rsid w:val="002645F3"/>
    <w:rsid w:val="002B55C9"/>
    <w:rsid w:val="002C0FD3"/>
    <w:rsid w:val="00321833"/>
    <w:rsid w:val="00344635"/>
    <w:rsid w:val="003522F6"/>
    <w:rsid w:val="003B615E"/>
    <w:rsid w:val="003B7EFB"/>
    <w:rsid w:val="00403889"/>
    <w:rsid w:val="00437AAA"/>
    <w:rsid w:val="00450799"/>
    <w:rsid w:val="00454172"/>
    <w:rsid w:val="0048449F"/>
    <w:rsid w:val="00490A85"/>
    <w:rsid w:val="00495628"/>
    <w:rsid w:val="004A5876"/>
    <w:rsid w:val="004B1AFF"/>
    <w:rsid w:val="00507672"/>
    <w:rsid w:val="005B1FCF"/>
    <w:rsid w:val="005D6E02"/>
    <w:rsid w:val="005E07EE"/>
    <w:rsid w:val="005F3EE2"/>
    <w:rsid w:val="006327D0"/>
    <w:rsid w:val="006C1AC0"/>
    <w:rsid w:val="006E4F10"/>
    <w:rsid w:val="006E70CD"/>
    <w:rsid w:val="00736A52"/>
    <w:rsid w:val="00772224"/>
    <w:rsid w:val="00781E08"/>
    <w:rsid w:val="0078307C"/>
    <w:rsid w:val="007B53D5"/>
    <w:rsid w:val="0082448C"/>
    <w:rsid w:val="008B096C"/>
    <w:rsid w:val="008C07DA"/>
    <w:rsid w:val="008C4102"/>
    <w:rsid w:val="00902FFE"/>
    <w:rsid w:val="009243D7"/>
    <w:rsid w:val="009440B0"/>
    <w:rsid w:val="00961483"/>
    <w:rsid w:val="00984339"/>
    <w:rsid w:val="009B60B3"/>
    <w:rsid w:val="009C43F9"/>
    <w:rsid w:val="00A6375A"/>
    <w:rsid w:val="00A825DF"/>
    <w:rsid w:val="00AB5861"/>
    <w:rsid w:val="00B15C94"/>
    <w:rsid w:val="00B22DE8"/>
    <w:rsid w:val="00BB53F2"/>
    <w:rsid w:val="00C8798A"/>
    <w:rsid w:val="00CC31A1"/>
    <w:rsid w:val="00CD6D72"/>
    <w:rsid w:val="00D548D4"/>
    <w:rsid w:val="00D942F4"/>
    <w:rsid w:val="00D96C2A"/>
    <w:rsid w:val="00DE67C0"/>
    <w:rsid w:val="00E47928"/>
    <w:rsid w:val="00E527D8"/>
    <w:rsid w:val="00E57859"/>
    <w:rsid w:val="00F6441B"/>
    <w:rsid w:val="00F72CF1"/>
    <w:rsid w:val="00FC5051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5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736A52"/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21">
    <w:name w:val="fontstyle21"/>
    <w:uiPriority w:val="99"/>
    <w:rsid w:val="00736A52"/>
    <w:rPr>
      <w:rFonts w:ascii="TimesNewRomanPS-BoldMT" w:hAnsi="TimesNewRomanPS-BoldMT" w:cs="TimesNewRomanPS-BoldMT"/>
      <w:b/>
      <w:bCs/>
      <w:color w:val="000000"/>
      <w:sz w:val="24"/>
      <w:szCs w:val="24"/>
    </w:rPr>
  </w:style>
  <w:style w:type="character" w:customStyle="1" w:styleId="fontstyle31">
    <w:name w:val="fontstyle31"/>
    <w:uiPriority w:val="99"/>
    <w:rsid w:val="00736A52"/>
    <w:rPr>
      <w:rFonts w:ascii="TimesNewRomanPS-BoldItalicMT" w:hAnsi="TimesNewRomanPS-BoldItalicMT" w:cs="TimesNewRomanPS-BoldItalicM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uiPriority w:val="99"/>
    <w:rsid w:val="00736A52"/>
    <w:rPr>
      <w:rFonts w:ascii="Calibri-Bold" w:hAnsi="Calibri-Bold" w:cs="Calibri-Bold"/>
      <w:b/>
      <w:bCs/>
      <w:color w:val="000000"/>
      <w:sz w:val="22"/>
      <w:szCs w:val="22"/>
    </w:rPr>
  </w:style>
  <w:style w:type="paragraph" w:styleId="a8">
    <w:name w:val="footer"/>
    <w:basedOn w:val="a"/>
    <w:link w:val="a9"/>
    <w:uiPriority w:val="99"/>
    <w:rsid w:val="005B1F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3117"/>
    <w:rPr>
      <w:rFonts w:cs="Calibri"/>
      <w:lang w:eastAsia="en-US"/>
    </w:rPr>
  </w:style>
  <w:style w:type="character" w:styleId="aa">
    <w:name w:val="page number"/>
    <w:basedOn w:val="a0"/>
    <w:uiPriority w:val="99"/>
    <w:rsid w:val="005B1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2131</Words>
  <Characters>12149</Characters>
  <Application>Microsoft Office Word</Application>
  <DocSecurity>0</DocSecurity>
  <Lines>101</Lines>
  <Paragraphs>28</Paragraphs>
  <ScaleCrop>false</ScaleCrop>
  <Company/>
  <LinksUpToDate>false</LinksUpToDate>
  <CharactersWithSpaces>14252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27</cp:revision>
  <dcterms:created xsi:type="dcterms:W3CDTF">2016-09-15T07:12:00Z</dcterms:created>
  <dcterms:modified xsi:type="dcterms:W3CDTF">2024-11-05T06:20:00Z</dcterms:modified>
</cp:coreProperties>
</file>